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6BA8" w14:textId="77777777" w:rsidR="00B15F53" w:rsidRPr="006D1560" w:rsidRDefault="00B15F53" w:rsidP="00B15F53">
      <w:pPr>
        <w:pStyle w:val="NormalWeb"/>
        <w:jc w:val="center"/>
        <w:rPr>
          <w:rFonts w:ascii="Verdana" w:hAnsi="Verdana"/>
        </w:rPr>
      </w:pPr>
      <w:r w:rsidRPr="006D1560">
        <w:rPr>
          <w:rStyle w:val="Textoennegrita"/>
          <w:rFonts w:ascii="Verdana" w:hAnsi="Verdana" w:cs="Arial"/>
          <w:sz w:val="20"/>
          <w:szCs w:val="20"/>
          <w:u w:val="single"/>
        </w:rPr>
        <w:t xml:space="preserve">FORMULARIOS Y NORMAS PARA </w:t>
      </w:r>
      <w:smartTag w:uri="urn:schemas-microsoft-com:office:smarttags" w:element="PersonName">
        <w:smartTagPr>
          <w:attr w:name="ProductID" w:val="LA RECEPTORÍA DE"/>
        </w:smartTagPr>
        <w:r w:rsidRPr="006D1560">
          <w:rPr>
            <w:rStyle w:val="Textoennegrita"/>
            <w:rFonts w:ascii="Verdana" w:hAnsi="Verdana" w:cs="Arial"/>
            <w:sz w:val="20"/>
            <w:szCs w:val="20"/>
            <w:u w:val="single"/>
          </w:rPr>
          <w:t>LA RECEPTORÍA DE</w:t>
        </w:r>
      </w:smartTag>
      <w:r w:rsidRPr="006D1560">
        <w:rPr>
          <w:rStyle w:val="Textoennegrita"/>
          <w:rFonts w:ascii="Verdana" w:hAnsi="Verdana" w:cs="Arial"/>
          <w:sz w:val="20"/>
          <w:szCs w:val="20"/>
          <w:u w:val="single"/>
        </w:rPr>
        <w:t xml:space="preserve"> EXPEDIENTES (INFOREC). </w:t>
      </w:r>
    </w:p>
    <w:p w14:paraId="76CCF60D" w14:textId="77777777" w:rsidR="00B15F53" w:rsidRPr="006D1560" w:rsidRDefault="00B15F53" w:rsidP="00B15F53">
      <w:pPr>
        <w:pStyle w:val="NormalWeb"/>
        <w:jc w:val="center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 xml:space="preserve">NORMAS PARA </w:t>
      </w:r>
      <w:smartTag w:uri="urn:schemas-microsoft-com:office:smarttags" w:element="PersonName">
        <w:smartTagPr>
          <w:attr w:name="ProductID" w:val="LA INICIACIÓN DE"/>
        </w:smartTagPr>
        <w:r w:rsidRPr="006D1560">
          <w:rPr>
            <w:rFonts w:ascii="Verdana" w:hAnsi="Verdana" w:cs="Arial"/>
            <w:b/>
            <w:bCs/>
            <w:color w:val="000000"/>
            <w:sz w:val="20"/>
            <w:szCs w:val="20"/>
          </w:rPr>
          <w:t>LA INICIACIÓN DE</w:t>
        </w:r>
      </w:smartTag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 xml:space="preserve"> JUICIOS </w:t>
      </w:r>
    </w:p>
    <w:p w14:paraId="300851C0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DOCUMENTACION A PRESENTAR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4A35047F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ESCRITO DE INICIO.</w:t>
      </w:r>
    </w:p>
    <w:p w14:paraId="6EFA5C7E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Todos los escritos de inicio, además de ajustarse a las disposiciones del acuerdo 2514, deberán encabezarse con un sumario en el que se consignará los nombres de las partes, objeto de juicio, y si se solicita, medidas urgentes. </w:t>
      </w:r>
    </w:p>
    <w:p w14:paraId="15BB3E3E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 xml:space="preserve">DOCUMENTOS Y COPIAS </w:t>
      </w:r>
    </w:p>
    <w:p w14:paraId="4B4F9CBA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Los documentos y copias que se acompañen se presentarán en sobre cerrado. El/los formulario/s de presentación y la planilla correspondiente al Registro de Juicios Universales, deberá presentarse fuera de dicho sobre, junto a las fotocopias de la documentación que corresponda, de acuerdo a lo detallado en el/los formulario/s. </w:t>
      </w:r>
    </w:p>
    <w:p w14:paraId="483C5AFE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 xml:space="preserve">FORMULARIOS QUE DEBEN PRESENTARSE </w:t>
      </w:r>
    </w:p>
    <w:p w14:paraId="4E7BB0CB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Fuera del sobre, y junto con el escrito inicial, deberá acompañarse el formulario de ingreso de datos y la planilla correspondiente al Registro de Juicios Universales, en caso de Sucesiones, Concursos o Juicios por incapacidad, suministrados por </w:t>
      </w:r>
      <w:smartTag w:uri="urn:schemas-microsoft-com:office:smarttags" w:element="PersonName">
        <w:smartTagPr>
          <w:attr w:name="ProductID" w:val="la Receptoría"/>
        </w:smartTagPr>
        <w:r w:rsidRPr="006D1560">
          <w:rPr>
            <w:rFonts w:ascii="Verdana" w:hAnsi="Verdana" w:cs="Arial"/>
            <w:color w:val="000000"/>
            <w:sz w:val="20"/>
            <w:szCs w:val="20"/>
          </w:rPr>
          <w:t>la Receptoría</w:t>
        </w:r>
      </w:smartTag>
      <w:r w:rsidRPr="006D1560">
        <w:rPr>
          <w:rFonts w:ascii="Verdana" w:hAnsi="Verdana" w:cs="Arial"/>
          <w:color w:val="000000"/>
          <w:sz w:val="20"/>
          <w:szCs w:val="20"/>
        </w:rPr>
        <w:t xml:space="preserve"> y el Colegio, los que se agregarán al expediente y no podrán ser desglosados, y la fotocopia de la documentación que corresponda, según lo que se haya indicado en el Formulario de Ingreso de Datos. </w:t>
      </w:r>
    </w:p>
    <w:p w14:paraId="7A3A3283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El </w:t>
      </w: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FORMULARIO DE INGRESO DE DATOS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es de carácter obligatorio, y, solo en el caso de ser necesario, deberá entregarse también el </w:t>
      </w: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FORMULARIO ADICIONAL PARA INGRESO DE DATOS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Formulario de Ingreso de Datos es distinto, en caso de presentarse por la parte actora o demandada. Ambos formularios, tienen la explicación al dorso de cómo completarse. </w:t>
      </w:r>
    </w:p>
    <w:p w14:paraId="25B0B278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 xml:space="preserve">FORMULARIO DE INGRESO DE DATOS </w:t>
      </w:r>
    </w:p>
    <w:p w14:paraId="06BB6835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El profesional deberá completar en máquina de escribir o computadora dicho formulario, conforme a las instrucciones que están detalladas al dorso del mismo, y se responsabilizará de la completitud, exactitud y veracidad de los datos que consigne.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La receptoría no aceptará formularios que no fueren confeccionados de acuerdo a las instrucciones detalladas en el mismo, o que presenten enmiendas o tachaduras. </w:t>
      </w:r>
    </w:p>
    <w:p w14:paraId="5E997F16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OTRA DOCUMENTACION A ENTREGAR: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41AD53EC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IDENTIDAD DE ACTOR/CAUSANTE O PETICIONANTE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Fuera del sobre y junto con el formulario de ingreso de datos, deberá presentarse fotocopia suscripta por el letrado, de la primera página del documento de identidad consignado con relación a cada uno de los actores, peticionantes u causantes, a efecto de las búsquedas, para detectar la conexidad o atracción automática, previa al sorteo. También fuera del sobre, deberá adjuntarse </w:t>
      </w:r>
      <w:smartTag w:uri="urn:schemas-microsoft-com:office:smarttags" w:element="PersonName">
        <w:smartTagPr>
          <w:attr w:name="ProductID" w:val="la Tasa"/>
        </w:smartTagPr>
        <w:r w:rsidRPr="006D1560">
          <w:rPr>
            <w:rFonts w:ascii="Verdana" w:hAnsi="Verdana" w:cs="Arial"/>
            <w:color w:val="000000"/>
            <w:sz w:val="20"/>
            <w:szCs w:val="20"/>
          </w:rPr>
          <w:t>la Tasa</w:t>
        </w:r>
      </w:smartTag>
      <w:r w:rsidRPr="006D1560">
        <w:rPr>
          <w:rFonts w:ascii="Verdana" w:hAnsi="Verdana" w:cs="Arial"/>
          <w:color w:val="000000"/>
          <w:sz w:val="20"/>
          <w:szCs w:val="20"/>
        </w:rPr>
        <w:t xml:space="preserve"> de Justicia y Bonos.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Siguiendo los lineamientos de la legislación vigente, solo se admitirán los siguientes </w:t>
      </w:r>
      <w:r w:rsidRPr="006D1560">
        <w:rPr>
          <w:rFonts w:ascii="Verdana" w:hAnsi="Verdana" w:cs="Arial"/>
          <w:color w:val="000000"/>
          <w:sz w:val="20"/>
          <w:szCs w:val="20"/>
        </w:rPr>
        <w:lastRenderedPageBreak/>
        <w:t xml:space="preserve">documentos: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- Ciudadanos nativos o naturalizados: DNI/DNII-IF (Documento Nacional de Identidad), LE (Libreta de enrolamiento), LC (Libreta Cívica).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- Extranjeros: DNI para extranjeros, CI (Cedula de identidad), y PASS (Pasaporte).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- Persona Jurídica: deberá acompañarse fotocopia del comprobante expedido por </w:t>
      </w:r>
      <w:smartTag w:uri="urn:schemas-microsoft-com:office:smarttags" w:element="PersonName">
        <w:smartTagPr>
          <w:attr w:name="ProductID" w:val="la AFIP"/>
        </w:smartTagPr>
        <w:r w:rsidRPr="006D1560">
          <w:rPr>
            <w:rFonts w:ascii="Verdana" w:hAnsi="Verdana" w:cs="Arial"/>
            <w:color w:val="000000"/>
            <w:sz w:val="20"/>
            <w:szCs w:val="20"/>
          </w:rPr>
          <w:t>la AFIP</w:t>
        </w:r>
      </w:smartTag>
      <w:r w:rsidRPr="006D1560">
        <w:rPr>
          <w:rFonts w:ascii="Verdana" w:hAnsi="Verdana" w:cs="Arial"/>
          <w:color w:val="000000"/>
          <w:sz w:val="20"/>
          <w:szCs w:val="20"/>
        </w:rPr>
        <w:t xml:space="preserve"> (Administración federal de Ingresos Públicos), en el que conste la razón social y en número de CUIT.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- Apoderados: el número de documento solicitado, puede obtenerse de la fotocopia firmada del poder.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- Difuntos: se entregará fotocopia del DNI de los causantes. </w:t>
      </w:r>
    </w:p>
    <w:p w14:paraId="317951E9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DISTRIBUCION DE CAUSAS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D1560">
        <w:rPr>
          <w:rFonts w:ascii="Verdana" w:hAnsi="Verdana" w:cs="Arial"/>
          <w:color w:val="000000"/>
          <w:sz w:val="20"/>
          <w:szCs w:val="20"/>
        </w:rPr>
        <w:br/>
      </w:r>
      <w:r w:rsidRPr="006D1560">
        <w:rPr>
          <w:rFonts w:ascii="Verdana" w:hAnsi="Verdana" w:cs="Arial"/>
          <w:color w:val="000000"/>
          <w:sz w:val="20"/>
          <w:szCs w:val="20"/>
        </w:rPr>
        <w:br/>
      </w: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TURNOS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164834EF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Todos los Juzgados de Primera Instancia y Tribunales de Trabajo y de Familia, estarán permanentemente de turno, a los efectos de la iniciación de causas, salvo los casos previstos en la legislación vigente, en las apelaciones de resoluciones administrativas, y en las dictadas por las Asociaciones Sindicales ante los Tribunales de Trabajo, en los que, la competencia de los respectivos organismos será determinada por </w:t>
      </w:r>
      <w:smartTag w:uri="urn:schemas-microsoft-com:office:smarttags" w:element="PersonName">
        <w:smartTagPr>
          <w:attr w:name="ProductID" w:val="la Suprema Corte"/>
        </w:smartTagPr>
        <w:r w:rsidRPr="006D1560">
          <w:rPr>
            <w:rFonts w:ascii="Verdana" w:hAnsi="Verdana" w:cs="Arial"/>
            <w:color w:val="000000"/>
            <w:sz w:val="20"/>
            <w:szCs w:val="20"/>
          </w:rPr>
          <w:t>la Suprema Corte</w:t>
        </w:r>
      </w:smartTag>
      <w:r w:rsidRPr="006D1560">
        <w:rPr>
          <w:rFonts w:ascii="Verdana" w:hAnsi="Verdana" w:cs="Arial"/>
          <w:color w:val="000000"/>
          <w:sz w:val="20"/>
          <w:szCs w:val="20"/>
        </w:rPr>
        <w:t xml:space="preserve"> de Justicia. </w:t>
      </w:r>
      <w:r w:rsidRPr="006D1560">
        <w:rPr>
          <w:rFonts w:ascii="Verdana" w:hAnsi="Verdana" w:cs="Arial"/>
          <w:color w:val="000000"/>
          <w:sz w:val="20"/>
          <w:szCs w:val="20"/>
        </w:rPr>
        <w:br/>
      </w:r>
      <w:r w:rsidRPr="006D1560">
        <w:rPr>
          <w:rFonts w:ascii="Verdana" w:hAnsi="Verdana" w:cs="Arial"/>
          <w:color w:val="000000"/>
          <w:sz w:val="20"/>
          <w:szCs w:val="20"/>
        </w:rPr>
        <w:br/>
      </w: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FERIA JUDICIAL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6B236DC4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smartTag w:uri="urn:schemas-microsoft-com:office:smarttags" w:element="PersonName">
        <w:smartTagPr>
          <w:attr w:name="ProductID" w:val="la Receptoría"/>
        </w:smartTagPr>
        <w:r w:rsidRPr="006D1560">
          <w:rPr>
            <w:rFonts w:ascii="Verdana" w:hAnsi="Verdana" w:cs="Arial"/>
            <w:color w:val="000000"/>
            <w:sz w:val="20"/>
            <w:szCs w:val="20"/>
          </w:rPr>
          <w:t>La Receptoría</w:t>
        </w:r>
      </w:smartTag>
      <w:r w:rsidRPr="006D1560">
        <w:rPr>
          <w:rFonts w:ascii="Verdana" w:hAnsi="Verdana" w:cs="Arial"/>
          <w:color w:val="000000"/>
          <w:sz w:val="20"/>
          <w:szCs w:val="20"/>
        </w:rPr>
        <w:t xml:space="preserve"> no adjudicará los expedientes iniciados durante la feria judicial al Juez a cargo de la misma, sino que procederá a asignarlos en la forma detallada mas adelante, en este documento. </w:t>
      </w:r>
    </w:p>
    <w:p w14:paraId="4936FA34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ASIGNACIÓN DE CAUSAS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5D297C6C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Las nuevas causas iniciadas, serán asignadas automáticamente por el sistema INFOREC. Cuando por razones de causa mayor, no pueda estar en funcionamiento el sistema, </w:t>
      </w:r>
      <w:smartTag w:uri="urn:schemas-microsoft-com:office:smarttags" w:element="PersonName">
        <w:smartTagPr>
          <w:attr w:name="ProductID" w:val="la Receptoría"/>
        </w:smartTagPr>
        <w:r w:rsidRPr="006D1560">
          <w:rPr>
            <w:rFonts w:ascii="Verdana" w:hAnsi="Verdana" w:cs="Arial"/>
            <w:color w:val="000000"/>
            <w:sz w:val="20"/>
            <w:szCs w:val="20"/>
          </w:rPr>
          <w:t>la Receptoría</w:t>
        </w:r>
      </w:smartTag>
      <w:r w:rsidRPr="006D1560">
        <w:rPr>
          <w:rFonts w:ascii="Verdana" w:hAnsi="Verdana" w:cs="Arial"/>
          <w:color w:val="000000"/>
          <w:sz w:val="20"/>
          <w:szCs w:val="20"/>
        </w:rPr>
        <w:t xml:space="preserve"> recibirá únicamente, solo las que se inicien con carácter de urgente, y las adjudicará por sorteo manual. </w:t>
      </w:r>
    </w:p>
    <w:p w14:paraId="1B972BC7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- Asignación por sorteo automatizado: las causas se asignarán igualitariamente por sorteo automatizado, siempre y cuando, el sistema no haya detectado previamente atracción o conexidad automática.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- Asignación por conexidad automática: INFOREC prescindirá del sorteo y asignará de acuerdo al detalle siguiente: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* Dobles o múltiples iniciaciones: si verifica la identidad de actor, demandado y objeto de juicio ="&gt;" asigna la nueva causa al Juzgado o Tribunal donde se encuentra radicado.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* Causas iniciadas ante el Tribunal de Familia: si verifica existencia de peticiones anteriores ="&gt;" asigna al Tribunal de Familia que hubiere prevenido.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- Asignación por atracción automática: Operará la atracción automática entre procesos incluidos en: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* Sucesión ab-intestato, testamentaria, vacante, Ausencia con presunción de fallecimiento, Ausencia por desaparición forzada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>* Quiebras, concurso preventivo, intervención judicial, liquidación de entidades de seguros.</w:t>
      </w:r>
      <w:r w:rsidR="006D1560"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Cuando se cumplan alguna de las siguientes condiciones: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1- si verifica identidad del causante del nuevo juicio ="&gt;" asigna la causa al Juzgado que previno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2- si al iniciarse el nuevo juicio, con mas de un causante,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a. y solo verifica la identidad de uno solo de ellos asigna la causa al Juzgado donde tramita el antecedente. </w:t>
      </w:r>
      <w:r w:rsidRPr="006D1560">
        <w:rPr>
          <w:rFonts w:ascii="Verdana" w:hAnsi="Verdana" w:cs="Arial"/>
          <w:color w:val="000000"/>
          <w:sz w:val="20"/>
          <w:szCs w:val="20"/>
        </w:rPr>
        <w:br/>
      </w:r>
      <w:proofErr w:type="spellStart"/>
      <w:r w:rsidRPr="006D1560">
        <w:rPr>
          <w:rFonts w:ascii="Verdana" w:hAnsi="Verdana" w:cs="Arial"/>
          <w:color w:val="000000"/>
          <w:sz w:val="20"/>
          <w:szCs w:val="20"/>
        </w:rPr>
        <w:lastRenderedPageBreak/>
        <w:t>b.e</w:t>
      </w:r>
      <w:proofErr w:type="spellEnd"/>
      <w:r w:rsidRPr="006D1560">
        <w:rPr>
          <w:rFonts w:ascii="Verdana" w:hAnsi="Verdana" w:cs="Arial"/>
          <w:color w:val="000000"/>
          <w:sz w:val="20"/>
          <w:szCs w:val="20"/>
        </w:rPr>
        <w:t xml:space="preserve"> identifica a mas de uno, y tramitan en distintos Juzgados ="&gt;" asigna la causa donde tramita el mas antiguo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>- Radicación directa a pedido de parte:</w:t>
      </w:r>
      <w:r w:rsidR="006D1560"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la parte o su letrado, podrán solicitar en el escrito de inicio, que la causa se asigne a un determinado Juzgado o Tribunal, invocando razones de conexidad o atracción. </w:t>
      </w:r>
      <w:r w:rsidRPr="006D1560">
        <w:rPr>
          <w:rFonts w:ascii="Verdana" w:hAnsi="Verdana" w:cs="Arial"/>
          <w:color w:val="000000"/>
          <w:sz w:val="20"/>
          <w:szCs w:val="20"/>
        </w:rPr>
        <w:br/>
        <w:t xml:space="preserve">Deberá solicitar en receptoría, el Nro. De causa y categoría a la que pertenece la causa que se denuncia. </w:t>
      </w:r>
    </w:p>
    <w:p w14:paraId="11774464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 xml:space="preserve">DESPUES DE RECIBIDA </w:t>
      </w:r>
      <w:smartTag w:uri="urn:schemas-microsoft-com:office:smarttags" w:element="PersonName">
        <w:smartTagPr>
          <w:attr w:name="ProductID" w:val="LA DOCUMENTACION ￼￼CONSTANCIA"/>
        </w:smartTagPr>
        <w:r w:rsidRPr="006D1560">
          <w:rPr>
            <w:rFonts w:ascii="Verdana" w:hAnsi="Verdana" w:cs="Arial"/>
            <w:b/>
            <w:bCs/>
            <w:color w:val="000000"/>
            <w:sz w:val="20"/>
            <w:szCs w:val="20"/>
          </w:rPr>
          <w:t>LA DOCUMENTACION</w:t>
        </w:r>
        <w:r w:rsidRPr="006D1560">
          <w:rPr>
            <w:rFonts w:ascii="Verdana" w:hAnsi="Verdana" w:cs="Arial"/>
            <w:color w:val="000000"/>
            <w:sz w:val="20"/>
            <w:szCs w:val="20"/>
          </w:rPr>
          <w:t xml:space="preserve"> </w:t>
        </w:r>
        <w:r w:rsidRPr="006D1560">
          <w:rPr>
            <w:rFonts w:ascii="Verdana" w:hAnsi="Verdana" w:cs="Arial"/>
            <w:color w:val="000000"/>
            <w:sz w:val="20"/>
            <w:szCs w:val="20"/>
          </w:rPr>
          <w:br/>
        </w:r>
        <w:r w:rsidRPr="006D1560">
          <w:rPr>
            <w:rFonts w:ascii="Verdana" w:hAnsi="Verdana" w:cs="Arial"/>
            <w:color w:val="000000"/>
            <w:sz w:val="20"/>
            <w:szCs w:val="20"/>
          </w:rPr>
          <w:br/>
        </w:r>
        <w:r w:rsidRPr="006D1560">
          <w:rPr>
            <w:rFonts w:ascii="Verdana" w:hAnsi="Verdana" w:cs="Arial"/>
            <w:b/>
            <w:bCs/>
            <w:color w:val="000000"/>
            <w:sz w:val="20"/>
            <w:szCs w:val="20"/>
          </w:rPr>
          <w:t>CONSTANCIA</w:t>
        </w:r>
      </w:smartTag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 xml:space="preserve"> DE RECEPCION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78774AA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>La receptoría abrirá un registro individual para cada expediente que ingrese al sistema INFOREC, y será responsable de la entrega de la constancia de recepción para el profesional que corresponda.</w:t>
      </w:r>
      <w:r w:rsidR="006D1560"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La constancia que se le entregará al profesional, únicamente, se emitirá en caso de la persona responsable la solicite. Pudiendo esperarla y retirarla en el momento, o pasar a retirarla al día siguiente. </w:t>
      </w:r>
    </w:p>
    <w:p w14:paraId="12936A6A" w14:textId="77777777" w:rsidR="00B15F53" w:rsidRPr="006D1560" w:rsidRDefault="00B15F53" w:rsidP="00B15F53">
      <w:pPr>
        <w:pStyle w:val="NormalWeb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b/>
          <w:bCs/>
          <w:color w:val="000000"/>
          <w:sz w:val="20"/>
          <w:szCs w:val="20"/>
        </w:rPr>
        <w:t>COMO CONFIGURAR EXCEL PARA PODER ESCRIBIR SOBRE LAS PLANILLAS</w:t>
      </w:r>
      <w:r w:rsidRPr="006D156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3C661104" w14:textId="77777777" w:rsidR="00B15F53" w:rsidRPr="006D1560" w:rsidRDefault="00B15F53" w:rsidP="00B15F5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En el menú Herramientas, haga clic en Macro. </w:t>
      </w:r>
    </w:p>
    <w:p w14:paraId="32A79C3F" w14:textId="77777777" w:rsidR="00B15F53" w:rsidRPr="006D1560" w:rsidRDefault="00B15F53" w:rsidP="00B15F5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Haga clic en la ficha Seguridad </w:t>
      </w:r>
    </w:p>
    <w:p w14:paraId="6321F5E6" w14:textId="77777777" w:rsidR="00B15F53" w:rsidRPr="006D1560" w:rsidRDefault="00B15F53" w:rsidP="00B15F5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 w:rsidRPr="006D1560">
        <w:rPr>
          <w:rFonts w:ascii="Verdana" w:hAnsi="Verdana" w:cs="Arial"/>
          <w:color w:val="000000"/>
          <w:sz w:val="20"/>
          <w:szCs w:val="20"/>
        </w:rPr>
        <w:t xml:space="preserve">Haga clic en la ficha Nivel de seguridad y, a continuación, seleccione el nivel de seguridad que desea utilizar. El nivel de seguridad que tiene que seleccionarse es Bajo (es el ultimo de los tres radios) </w:t>
      </w:r>
    </w:p>
    <w:p w14:paraId="28E370AB" w14:textId="77777777" w:rsidR="00B15F53" w:rsidRPr="006D1560" w:rsidRDefault="00B15F53">
      <w:pPr>
        <w:rPr>
          <w:rFonts w:ascii="Verdana" w:hAnsi="Verdana"/>
        </w:rPr>
      </w:pPr>
    </w:p>
    <w:sectPr w:rsidR="00B15F53" w:rsidRPr="006D1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861"/>
    <w:multiLevelType w:val="multilevel"/>
    <w:tmpl w:val="C586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59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53"/>
    <w:rsid w:val="000D1226"/>
    <w:rsid w:val="006D1560"/>
    <w:rsid w:val="00B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AA517E"/>
  <w15:chartTrackingRefBased/>
  <w15:docId w15:val="{F1034EF4-FF5B-4C25-B3C4-2BB8C9D5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B15F5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B15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Y NORMAS PARA LA RECEPTORÍA DE EXPEDIENTES (INFOREC)</vt:lpstr>
    </vt:vector>
  </TitlesOfParts>
  <Company>estudio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Y NORMAS PARA LA RECEPTORÍA DE EXPEDIENTES (INFOREC)</dc:title>
  <dc:subject/>
  <dc:creator>Andre</dc:creator>
  <cp:keywords/>
  <dc:description/>
  <cp:lastModifiedBy>Colegio de Abogados San Nicolas</cp:lastModifiedBy>
  <cp:revision>2</cp:revision>
  <dcterms:created xsi:type="dcterms:W3CDTF">2024-10-29T13:12:00Z</dcterms:created>
  <dcterms:modified xsi:type="dcterms:W3CDTF">2024-10-29T13:12:00Z</dcterms:modified>
</cp:coreProperties>
</file>